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секретаре судебных заседаний Бекетовой Н.И.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№2-</w:t>
      </w:r>
      <w:r>
        <w:rPr>
          <w:rFonts w:ascii="Times New Roman" w:eastAsia="Times New Roman" w:hAnsi="Times New Roman" w:cs="Times New Roman"/>
          <w:sz w:val="28"/>
          <w:szCs w:val="28"/>
        </w:rPr>
        <w:t>4719-2803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«ПКО «Феникс» к </w:t>
      </w:r>
      <w:r>
        <w:rPr>
          <w:rFonts w:ascii="Times New Roman" w:eastAsia="Times New Roman" w:hAnsi="Times New Roman" w:cs="Times New Roman"/>
          <w:sz w:val="28"/>
          <w:szCs w:val="28"/>
        </w:rPr>
        <w:t>Богаткиной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Елене Николаевне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 займа,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ст.ст.194-199 ГПК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отказать в удовлетворении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ООО «ПКО «Феникс»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(ИНН:7713793524)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Богаткиной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Елене Николаевне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Ханты-Мансийский районный суд путем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№3 Ханты-Мансийского судебного района в течение месяца со дня принятия мировым судьей решения.</w:t>
      </w:r>
    </w:p>
    <w:p>
      <w:pPr>
        <w:spacing w:before="0" w:after="12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8rplc-10">
    <w:name w:val="cat-PassportData grp-8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